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D04EF37" w14:textId="77777777" w:rsidTr="0041512A">
        <w:tc>
          <w:tcPr>
            <w:tcW w:w="2263" w:type="dxa"/>
          </w:tcPr>
          <w:p w14:paraId="34A4A693" w14:textId="4764B993" w:rsidR="0041512A" w:rsidRDefault="00A90FFE" w:rsidP="0041512A">
            <w:pPr>
              <w:spacing w:before="120" w:after="120"/>
            </w:pPr>
            <w:hyperlink r:id="rId5" w:history="1">
              <w:r w:rsidR="00273566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B972ECB" w14:textId="77777777" w:rsidR="0041512A" w:rsidRDefault="008E206A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Posteggio al mercato</w:t>
            </w:r>
          </w:p>
        </w:tc>
        <w:tc>
          <w:tcPr>
            <w:tcW w:w="1979" w:type="dxa"/>
          </w:tcPr>
          <w:p w14:paraId="61EAEFF8" w14:textId="0B0121B4" w:rsidR="0041512A" w:rsidRPr="0041512A" w:rsidRDefault="00A90FFE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55297F">
                <w:rPr>
                  <w:rStyle w:val="Collegamentoipertestuale"/>
                  <w:b/>
                </w:rPr>
                <w:t>Con</w:t>
              </w:r>
              <w:r w:rsidR="0055297F">
                <w:rPr>
                  <w:rStyle w:val="Collegamentoipertestuale"/>
                  <w:b/>
                </w:rPr>
                <w:t>t</w:t>
              </w:r>
              <w:r w:rsidR="0055297F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64AD1734" w14:textId="77777777" w:rsidTr="0041512A">
        <w:tc>
          <w:tcPr>
            <w:tcW w:w="9629" w:type="dxa"/>
            <w:gridSpan w:val="3"/>
          </w:tcPr>
          <w:p w14:paraId="1159B699" w14:textId="5257A11B" w:rsidR="00F33A15" w:rsidRPr="00723E87" w:rsidRDefault="00723E8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23E8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9BEC61A" w14:textId="77777777" w:rsidR="008E206A" w:rsidRPr="008E206A" w:rsidRDefault="008E206A" w:rsidP="008E206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 xml:space="preserve">Il mercato è un </w:t>
            </w:r>
            <w:r w:rsidRPr="00F3443B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servizio istituito e regolamentato dal Comune </w:t>
            </w:r>
            <w:r w:rsidRPr="008E206A">
              <w:rPr>
                <w:color w:val="auto"/>
                <w:sz w:val="20"/>
                <w:szCs w:val="20"/>
                <w:u w:val="none"/>
              </w:rPr>
              <w:t>al fine di integrare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carenze del sistema distributivo locale.</w:t>
            </w:r>
          </w:p>
          <w:p w14:paraId="66C2A7F6" w14:textId="77777777" w:rsidR="008E206A" w:rsidRPr="008E206A" w:rsidRDefault="008E206A" w:rsidP="008E206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>La Regione non può sostituirsi all'autonomia comunale salva la possibilità di emanare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indirizzi affinché le attività mercatali della Lombardia si uniformino nella gestione dei mercati.</w:t>
            </w:r>
          </w:p>
          <w:p w14:paraId="54B2845F" w14:textId="77777777" w:rsidR="008E206A" w:rsidRPr="008E206A" w:rsidRDefault="008E206A" w:rsidP="008E206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>Il commercio su aree pubbliche in posteggio di mercato è un'attività di vendita di merci al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dettaglio e di somministrazione di alimenti e bevande ed erogazione di pubblici servizi.</w:t>
            </w:r>
          </w:p>
          <w:p w14:paraId="5F8D21F4" w14:textId="77777777" w:rsidR="008E206A" w:rsidRPr="008E206A" w:rsidRDefault="008E206A" w:rsidP="008E206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>Si svolge su un’area pubblica o privata messa a disposizione del Comune, ed è ripartita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più posteggi, a loro volta distinti in settori alimentare e non alimentare. Ogni singolo Settore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a sua volta può essere organizzato con posteggi ad assegnazione merceologica specifica.</w:t>
            </w:r>
          </w:p>
          <w:p w14:paraId="445C67A1" w14:textId="77777777" w:rsidR="008E206A" w:rsidRPr="008E206A" w:rsidRDefault="008E206A" w:rsidP="008E206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>L'area mercato deve corrispondere a determinati requisiti igienici fornendo allacciamenti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elettrici, di acqua e servizi igienici per gli operatori e per l'utenza. Deve altresì corrispondere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a specifiche norme di sicurezza antincendio e di emergenza con specifico riferimento agli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autonegozi muniti di bombole GPL.</w:t>
            </w:r>
          </w:p>
          <w:p w14:paraId="28006B19" w14:textId="77777777" w:rsidR="000E4B7E" w:rsidRPr="008E206A" w:rsidRDefault="008E206A" w:rsidP="00AA3A5E">
            <w:pPr>
              <w:autoSpaceDE w:val="0"/>
              <w:autoSpaceDN w:val="0"/>
              <w:adjustRightInd w:val="0"/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8E206A">
              <w:rPr>
                <w:color w:val="auto"/>
                <w:sz w:val="20"/>
                <w:szCs w:val="20"/>
                <w:u w:val="none"/>
              </w:rPr>
              <w:t>L’autorizzazione per l’esercizio del commercio su aree pubbliche nel mercato abilita anche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alla partecipazione di fiere che si svolgono sul territorio nazionale ed all’esercizio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commercio in forma itinerante nell’ambito del territorio regionale con esclusione delle ore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206A">
              <w:rPr>
                <w:color w:val="auto"/>
                <w:sz w:val="20"/>
                <w:szCs w:val="20"/>
                <w:u w:val="none"/>
              </w:rPr>
              <w:t>cui si è concessionario di posteggio mercatale.</w:t>
            </w:r>
          </w:p>
          <w:p w14:paraId="557BB923" w14:textId="77777777" w:rsidR="00DA34D6" w:rsidRPr="00AB4C12" w:rsidRDefault="00DA34D6" w:rsidP="00DA34D6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CD5D412" w14:textId="77777777" w:rsidR="00DA34D6" w:rsidRPr="00F73D96" w:rsidRDefault="00DA34D6" w:rsidP="00DA34D6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8FBBAFD" w14:textId="41D48B10" w:rsidR="00DA34D6" w:rsidRPr="006B015E" w:rsidRDefault="006B015E" w:rsidP="00DA34D6">
            <w:pPr>
              <w:pStyle w:val="Paragrafoelenco"/>
              <w:numPr>
                <w:ilvl w:val="0"/>
                <w:numId w:val="9"/>
              </w:numPr>
              <w:spacing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90FFE">
              <w:rPr>
                <w:b/>
                <w:bCs/>
                <w:sz w:val="24"/>
                <w:szCs w:val="24"/>
              </w:rPr>
              <w:instrText>HYPERLINK "../../PROGRAMMAZIONE/aree%20pubbliche/Mercati.pdf"</w:instrText>
            </w:r>
            <w:r w:rsidR="00A90FFE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4D6" w:rsidRPr="006B015E">
              <w:rPr>
                <w:rStyle w:val="Collegamentoipertestuale"/>
                <w:b/>
                <w:bCs/>
                <w:sz w:val="24"/>
                <w:szCs w:val="24"/>
              </w:rPr>
              <w:t>Programmazio</w:t>
            </w:r>
            <w:r w:rsidR="00DA34D6" w:rsidRPr="006B015E">
              <w:rPr>
                <w:rStyle w:val="Collegamentoipertestuale"/>
                <w:b/>
                <w:bCs/>
                <w:sz w:val="24"/>
                <w:szCs w:val="24"/>
              </w:rPr>
              <w:t>n</w:t>
            </w:r>
            <w:r w:rsidR="00DA34D6" w:rsidRPr="006B015E">
              <w:rPr>
                <w:rStyle w:val="Collegamentoipertestuale"/>
                <w:b/>
                <w:bCs/>
                <w:sz w:val="24"/>
                <w:szCs w:val="24"/>
              </w:rPr>
              <w:t>e mercato</w:t>
            </w:r>
          </w:p>
          <w:p w14:paraId="75C64AD3" w14:textId="1AD0FB06" w:rsidR="00DA34D6" w:rsidRPr="00DA34D6" w:rsidRDefault="006B015E" w:rsidP="00DA34D6">
            <w:pPr>
              <w:pStyle w:val="Paragrafoelenco"/>
              <w:spacing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EBEECD" w14:textId="1AF493EB" w:rsidR="00904821" w:rsidRPr="00904821" w:rsidRDefault="00A90FFE" w:rsidP="00DA34D6">
            <w:pPr>
              <w:pStyle w:val="Paragrafoelenco"/>
              <w:numPr>
                <w:ilvl w:val="0"/>
                <w:numId w:val="9"/>
              </w:numPr>
              <w:spacing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904821" w:rsidRPr="00904821">
                <w:rPr>
                  <w:rStyle w:val="Collegamentoipertestuale"/>
                  <w:b/>
                  <w:sz w:val="24"/>
                  <w:szCs w:val="24"/>
                </w:rPr>
                <w:t>Tipologia a</w:t>
              </w:r>
              <w:r w:rsidR="00904821" w:rsidRPr="00904821">
                <w:rPr>
                  <w:rStyle w:val="Collegamentoipertestuale"/>
                  <w:b/>
                  <w:sz w:val="24"/>
                  <w:szCs w:val="24"/>
                </w:rPr>
                <w:t>u</w:t>
              </w:r>
              <w:r w:rsidR="00904821" w:rsidRPr="00904821">
                <w:rPr>
                  <w:rStyle w:val="Collegamentoipertestuale"/>
                  <w:b/>
                  <w:sz w:val="24"/>
                  <w:szCs w:val="24"/>
                </w:rPr>
                <w:t>torizzazioni</w:t>
              </w:r>
            </w:hyperlink>
          </w:p>
          <w:p w14:paraId="4935132D" w14:textId="77777777" w:rsidR="00904821" w:rsidRPr="00904821" w:rsidRDefault="00904821" w:rsidP="00904821">
            <w:pPr>
              <w:pStyle w:val="Paragrafoelenco"/>
              <w:rPr>
                <w:b/>
                <w:sz w:val="12"/>
                <w:szCs w:val="12"/>
              </w:rPr>
            </w:pPr>
          </w:p>
          <w:p w14:paraId="52357CE5" w14:textId="01A578B4" w:rsidR="00DA34D6" w:rsidRPr="006B015E" w:rsidRDefault="006B015E" w:rsidP="00DA34D6">
            <w:pPr>
              <w:pStyle w:val="Paragrafoelenco"/>
              <w:numPr>
                <w:ilvl w:val="0"/>
                <w:numId w:val="9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E36A2">
              <w:rPr>
                <w:b/>
                <w:sz w:val="24"/>
                <w:szCs w:val="24"/>
              </w:rPr>
              <w:instrText>HYPERLINK "Definizioni/3AP%20Settori%20merceologici.pdf"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>Settori merceologici di</w:t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>vendita</w:t>
            </w:r>
          </w:p>
          <w:p w14:paraId="69054C88" w14:textId="6779FFBC" w:rsidR="00DA34D6" w:rsidRPr="00F73D96" w:rsidRDefault="006B015E" w:rsidP="00DA34D6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B55FA77" w14:textId="0CBF7CED" w:rsidR="00DA34D6" w:rsidRPr="006B015E" w:rsidRDefault="006B015E" w:rsidP="00DA34D6">
            <w:pPr>
              <w:pStyle w:val="Paragrafoelenco"/>
              <w:numPr>
                <w:ilvl w:val="0"/>
                <w:numId w:val="9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E36A2">
              <w:rPr>
                <w:b/>
                <w:sz w:val="24"/>
                <w:szCs w:val="24"/>
              </w:rPr>
              <w:instrText>HYPERLINK "Definizioni/4AP%20Vendita%20specifici%20prodotti.pdf"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>Vendita specif</w:t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>i</w:t>
            </w:r>
            <w:r w:rsidR="00DA34D6" w:rsidRPr="006B015E">
              <w:rPr>
                <w:rStyle w:val="Collegamentoipertestuale"/>
                <w:b/>
                <w:sz w:val="24"/>
                <w:szCs w:val="24"/>
              </w:rPr>
              <w:t>ci prodotti</w:t>
            </w:r>
          </w:p>
          <w:p w14:paraId="7C7660C6" w14:textId="3EEDBEB3" w:rsidR="00DA34D6" w:rsidRPr="00F73D96" w:rsidRDefault="006B015E" w:rsidP="00DA34D6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46B78F3" w14:textId="7F363F3F" w:rsidR="00DA34D6" w:rsidRPr="00F73D96" w:rsidRDefault="00A90FFE" w:rsidP="00DA34D6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8" w:history="1">
              <w:r w:rsidR="00DA34D6" w:rsidRPr="00F73D96">
                <w:rPr>
                  <w:rStyle w:val="Collegamentoipertestuale"/>
                  <w:b/>
                  <w:sz w:val="24"/>
                  <w:szCs w:val="24"/>
                </w:rPr>
                <w:t>Requisiti onora</w:t>
              </w:r>
              <w:r w:rsidR="00DA34D6" w:rsidRPr="00F73D96">
                <w:rPr>
                  <w:rStyle w:val="Collegamentoipertestuale"/>
                  <w:b/>
                  <w:sz w:val="24"/>
                  <w:szCs w:val="24"/>
                </w:rPr>
                <w:t>b</w:t>
              </w:r>
              <w:r w:rsidR="00DA34D6" w:rsidRPr="00F73D96">
                <w:rPr>
                  <w:rStyle w:val="Collegamentoipertestuale"/>
                  <w:b/>
                  <w:sz w:val="24"/>
                  <w:szCs w:val="24"/>
                </w:rPr>
                <w:t>ilità</w:t>
              </w:r>
            </w:hyperlink>
          </w:p>
          <w:p w14:paraId="0A0BE736" w14:textId="77777777" w:rsidR="00DA34D6" w:rsidRPr="00F73D96" w:rsidRDefault="00DA34D6" w:rsidP="00DA34D6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5B1A96F" w14:textId="2114329A" w:rsidR="00DA34D6" w:rsidRDefault="00A90FFE" w:rsidP="00DA34D6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hyperlink r:id="rId9" w:history="1">
              <w:r w:rsidR="00DA34D6" w:rsidRPr="00802FBC">
                <w:rPr>
                  <w:rStyle w:val="Collegamentoipertestuale"/>
                  <w:b/>
                  <w:sz w:val="24"/>
                  <w:szCs w:val="24"/>
                </w:rPr>
                <w:t>Requisiti profession</w:t>
              </w:r>
              <w:r w:rsidR="00DA34D6" w:rsidRPr="00802FBC">
                <w:rPr>
                  <w:rStyle w:val="Collegamentoipertestuale"/>
                  <w:b/>
                  <w:sz w:val="24"/>
                  <w:szCs w:val="24"/>
                </w:rPr>
                <w:t>a</w:t>
              </w:r>
              <w:r w:rsidR="00DA34D6" w:rsidRPr="00802FBC">
                <w:rPr>
                  <w:rStyle w:val="Collegamentoipertestuale"/>
                  <w:b/>
                  <w:sz w:val="24"/>
                  <w:szCs w:val="24"/>
                </w:rPr>
                <w:t>li</w:t>
              </w:r>
            </w:hyperlink>
          </w:p>
          <w:p w14:paraId="0318BDF8" w14:textId="77777777" w:rsidR="006B015E" w:rsidRPr="006B015E" w:rsidRDefault="006B015E" w:rsidP="006B015E">
            <w:pPr>
              <w:pStyle w:val="Paragrafoelenco"/>
              <w:rPr>
                <w:b/>
                <w:color w:val="0000FF"/>
                <w:sz w:val="12"/>
                <w:szCs w:val="12"/>
              </w:rPr>
            </w:pPr>
          </w:p>
          <w:p w14:paraId="3DAB6FC6" w14:textId="60CD6283" w:rsidR="006B015E" w:rsidRPr="006B015E" w:rsidRDefault="006B015E" w:rsidP="006B015E">
            <w:pPr>
              <w:pStyle w:val="Paragrafoelenco"/>
              <w:numPr>
                <w:ilvl w:val="0"/>
                <w:numId w:val="9"/>
              </w:numPr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6B015E">
              <w:rPr>
                <w:b/>
                <w:color w:val="C00000"/>
                <w:sz w:val="24"/>
                <w:szCs w:val="24"/>
                <w:u w:val="none"/>
              </w:rPr>
              <w:t>Requisiti oggettivi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-</w:t>
            </w:r>
            <w:r w:rsidRPr="006B015E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svolgere l’attività di vendita al dettaglio in un’area di servizio mercatale, occorre possedere i requisiti oggettivi eventualmente previsti nel bando di assegnazione della concessione per la gestione di un posteggio del mercato (Tipologia merceologica - Banco mobile – Autonegozio – </w:t>
            </w:r>
            <w:hyperlink r:id="rId10" w:history="1">
              <w:r w:rsidRPr="006B015E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Osservanza piano sicurezza</w:t>
              </w:r>
            </w:hyperlink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ecc.). </w:t>
            </w:r>
          </w:p>
          <w:p w14:paraId="0BBDBE40" w14:textId="29B4ECBB" w:rsidR="00DA34D6" w:rsidRPr="00F73D96" w:rsidRDefault="00DA34D6" w:rsidP="00904821">
            <w:pPr>
              <w:pStyle w:val="Paragrafoelenco"/>
              <w:tabs>
                <w:tab w:val="left" w:pos="1620"/>
              </w:tabs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7E67690" w14:textId="736AA479" w:rsidR="00DA34D6" w:rsidRPr="006B015E" w:rsidRDefault="006B015E" w:rsidP="00DA34D6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90FFE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 w:rsidR="00A90FFE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Piano di s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i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curezza</w:t>
            </w:r>
          </w:p>
          <w:p w14:paraId="7F5F3D3D" w14:textId="5674FD8A" w:rsidR="00DA34D6" w:rsidRPr="00904821" w:rsidRDefault="006B015E" w:rsidP="00DA34D6">
            <w:pPr>
              <w:pStyle w:val="Paragrafoelenc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12F808E" w14:textId="375F8846" w:rsidR="00904821" w:rsidRPr="00904821" w:rsidRDefault="00A90FFE" w:rsidP="00904821">
            <w:pPr>
              <w:pStyle w:val="Paragrafoelenco"/>
              <w:numPr>
                <w:ilvl w:val="0"/>
                <w:numId w:val="9"/>
              </w:numPr>
              <w:rPr>
                <w:b/>
                <w:bCs/>
                <w:color w:val="0000FF"/>
                <w:sz w:val="24"/>
                <w:szCs w:val="24"/>
              </w:rPr>
            </w:pPr>
            <w:hyperlink r:id="rId11" w:history="1">
              <w:r w:rsidR="00904821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Ordinanza Ministero de</w:t>
              </w:r>
              <w:r w:rsidR="00904821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l</w:t>
              </w:r>
              <w:r w:rsidR="00904821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la Salute</w:t>
              </w:r>
            </w:hyperlink>
          </w:p>
          <w:p w14:paraId="2C045887" w14:textId="77777777" w:rsidR="002D28FB" w:rsidRPr="006B015E" w:rsidRDefault="002D28FB" w:rsidP="002D28FB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A007370" w14:textId="03854DBF" w:rsidR="00276654" w:rsidRPr="006B015E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6B015E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E59633B" w14:textId="7369F378" w:rsidR="004378B1" w:rsidRPr="004378B1" w:rsidRDefault="00367828" w:rsidP="004378B1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La concessione del posteggio per </w:t>
            </w:r>
            <w:r w:rsidR="004378B1" w:rsidRPr="004378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l’esercizio del commercio su aree pubbliche presso il mercato cittadino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</w:t>
            </w:r>
            <w:r w:rsidRPr="004378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rilasciata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</w:t>
            </w:r>
            <w:r w:rsidR="004378B1" w:rsidRPr="004378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persone fisiche, a società di persone, a società di capitali regolarmente costituite o cooperative,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mediante Bando Pubblico</w:t>
            </w:r>
            <w:r w:rsidR="004378B1" w:rsidRPr="004378B1">
              <w:rPr>
                <w:rStyle w:val="Collegamentoipertestuale"/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640BC93" w14:textId="77777777" w:rsidR="004378B1" w:rsidRPr="004378B1" w:rsidRDefault="004378B1" w:rsidP="004378B1">
            <w:pPr>
              <w:spacing w:after="120"/>
              <w:ind w:left="164" w:right="312"/>
              <w:outlineLvl w:val="2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4378B1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La modulistica sarà disponibile sul portale solo quando sarà pubblicato il bando.</w:t>
            </w:r>
          </w:p>
          <w:p w14:paraId="2C8F5435" w14:textId="2428EF2B" w:rsidR="004378B1" w:rsidRPr="004378B1" w:rsidRDefault="004378B1" w:rsidP="004378B1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 seguito della graduatoria del bando di assegnazione, verrà </w:t>
            </w:r>
            <w:r w:rsidR="00367828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stipulato</w:t>
            </w:r>
            <w:r w:rsidR="0055128B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55128B"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il contratto </w:t>
            </w:r>
            <w:r w:rsidR="0055128B" w:rsidRPr="002D28FB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privato </w:t>
            </w:r>
            <w:r w:rsidR="0055128B"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di concessione del posteggio</w:t>
            </w:r>
            <w:r w:rsidR="0055128B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e </w:t>
            </w:r>
            <w:r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rilasciata l’autorizzazione commerciale.</w:t>
            </w:r>
          </w:p>
          <w:p w14:paraId="119E3206" w14:textId="2565468C" w:rsidR="004378B1" w:rsidRPr="004378B1" w:rsidRDefault="004378B1" w:rsidP="004378B1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Entro 6 mesi</w:t>
            </w:r>
            <w:r w:rsidRPr="0075614F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dalla sottoscrizione del contratto di concessione del posteggio</w:t>
            </w:r>
            <w:r w:rsidR="0075614F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e rilascio dell’autorizzazione</w:t>
            </w:r>
            <w:r w:rsidRPr="004378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l’interessato deve iniziare l’attività</w:t>
            </w:r>
            <w:r w:rsidRPr="0075614F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presentando </w:t>
            </w:r>
            <w:r w:rsidR="0075614F"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al SUAP</w:t>
            </w:r>
            <w:r w:rsidR="0075614F" w:rsidRPr="0075614F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55128B"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la</w:t>
            </w:r>
            <w:r w:rsidRPr="0075614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5614F">
              <w:rPr>
                <w:b/>
                <w:color w:val="FF0000"/>
                <w:sz w:val="20"/>
                <w:szCs w:val="20"/>
                <w:u w:val="none"/>
              </w:rPr>
              <w:t>certificazione attestante l’assolvimento degli obblighi amministrativi, previdenziali, fiscali e assistenziali</w:t>
            </w:r>
            <w:r w:rsidRPr="0075614F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4378B1">
              <w:rPr>
                <w:color w:val="auto"/>
                <w:sz w:val="20"/>
                <w:szCs w:val="20"/>
                <w:u w:val="none"/>
              </w:rPr>
              <w:t>previsti dalle disposizioni vigenti.</w:t>
            </w:r>
          </w:p>
          <w:p w14:paraId="7CF1CF91" w14:textId="2A859581" w:rsidR="004378B1" w:rsidRPr="004378B1" w:rsidRDefault="004378B1" w:rsidP="004378B1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367828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4378B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4378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in posteggio mercatale per la vendita di prodotti alimentari è soggetto alla presentazione della </w:t>
            </w:r>
            <w:r w:rsidRPr="004378B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di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 notifica sanitaria </w:t>
            </w:r>
            <w:r w:rsidRPr="004378B1">
              <w:rPr>
                <w:color w:val="000000"/>
                <w:sz w:val="20"/>
                <w:szCs w:val="20"/>
                <w:u w:val="none"/>
              </w:rPr>
              <w:t xml:space="preserve">inoltrare mediante lo sportello telematico </w:t>
            </w:r>
            <w:hyperlink r:id="rId12" w:history="1">
              <w:hyperlink r:id="rId13" w:history="1">
                <w:r w:rsidR="009702BA">
                  <w:rPr>
                    <w:rStyle w:val="Collegamentoipertestuale"/>
                    <w:b/>
                    <w:sz w:val="20"/>
                    <w:szCs w:val="20"/>
                  </w:rPr>
                  <w:t>Impresainungiorno.</w:t>
                </w:r>
                <w:r w:rsidR="009702BA">
                  <w:rPr>
                    <w:rStyle w:val="Collegamentoipertestuale"/>
                    <w:b/>
                    <w:sz w:val="20"/>
                    <w:szCs w:val="20"/>
                  </w:rPr>
                  <w:t>g</w:t>
                </w:r>
                <w:r w:rsidR="009702BA">
                  <w:rPr>
                    <w:rStyle w:val="Collegamentoipertestuale"/>
                    <w:b/>
                    <w:sz w:val="20"/>
                    <w:szCs w:val="20"/>
                  </w:rPr>
                  <w:t xml:space="preserve">ov.it </w:t>
                </w:r>
                <w:r w:rsidR="009702BA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9702BA">
                <w:rPr>
                  <w:sz w:val="20"/>
                  <w:szCs w:val="20"/>
                </w:rPr>
                <w:t xml:space="preserve"> </w:t>
              </w:r>
              <w:r w:rsidRPr="004378B1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4378B1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4378B1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25B7CF5A" w14:textId="77777777" w:rsidR="00F3443B" w:rsidRDefault="00F3443B" w:rsidP="004378B1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1E33A319" w14:textId="77777777" w:rsidR="00F3443B" w:rsidRDefault="00F3443B" w:rsidP="004378B1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63B4E123" w14:textId="3EF9466C" w:rsidR="004378B1" w:rsidRPr="004378B1" w:rsidRDefault="004378B1" w:rsidP="004378B1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378B1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A370AC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777547">
              <w:rPr>
                <w:b/>
                <w:color w:val="auto"/>
                <w:sz w:val="20"/>
                <w:szCs w:val="20"/>
                <w:u w:val="none"/>
              </w:rPr>
              <w:t xml:space="preserve"> al dettaglio in area pubblica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A370AC">
              <w:rPr>
                <w:b/>
                <w:color w:val="auto"/>
                <w:sz w:val="20"/>
                <w:szCs w:val="20"/>
                <w:u w:val="none"/>
              </w:rPr>
              <w:t>C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>ommercio</w:t>
            </w:r>
            <w:r w:rsidR="00777547">
              <w:rPr>
                <w:b/>
                <w:color w:val="auto"/>
                <w:sz w:val="20"/>
                <w:szCs w:val="20"/>
                <w:u w:val="none"/>
              </w:rPr>
              <w:t xml:space="preserve"> su area pubblica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 su posteggio Tipo A) </w:t>
            </w:r>
            <w:r w:rsidRPr="004378B1">
              <w:rPr>
                <w:color w:val="auto"/>
                <w:sz w:val="20"/>
                <w:szCs w:val="20"/>
                <w:u w:val="none"/>
              </w:rPr>
              <w:t>e digitare conferma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4378B1">
              <w:rPr>
                <w:color w:val="auto"/>
                <w:sz w:val="20"/>
                <w:szCs w:val="20"/>
                <w:u w:val="none"/>
              </w:rPr>
              <w:t xml:space="preserve">a seguire digitare </w:t>
            </w:r>
            <w:r w:rsidR="00A370AC">
              <w:rPr>
                <w:b/>
                <w:color w:val="auto"/>
                <w:sz w:val="20"/>
                <w:szCs w:val="20"/>
                <w:u w:val="none"/>
              </w:rPr>
              <w:t>Avvio, Gestione, Cessazione attività</w:t>
            </w:r>
            <w:r w:rsidRPr="004378B1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A370AC" w:rsidRPr="00A370AC">
              <w:rPr>
                <w:rStyle w:val="scelta-evidenziata1"/>
                <w:color w:val="auto"/>
                <w:sz w:val="20"/>
                <w:szCs w:val="20"/>
                <w:u w:val="none"/>
              </w:rPr>
              <w:t>Richiedere la concessione di posteggio e la relativa autorizzazione per il commercio su aree pubbliche</w:t>
            </w:r>
            <w:r w:rsidR="00A370AC">
              <w:rPr>
                <w:rStyle w:val="scelta-evidenziata1"/>
                <w:color w:val="auto"/>
                <w:sz w:val="20"/>
                <w:szCs w:val="20"/>
                <w:u w:val="none"/>
              </w:rPr>
              <w:t>.</w:t>
            </w:r>
          </w:p>
          <w:p w14:paraId="07CA7DF1" w14:textId="2C9DDD40" w:rsidR="004718BE" w:rsidRDefault="004718BE" w:rsidP="004718B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370A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E4E4BC8" w14:textId="7D10D63A" w:rsidR="004718BE" w:rsidRPr="0056509F" w:rsidRDefault="004718BE" w:rsidP="00A370AC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Cambio o aggiunta settore merceologico – Modifica locali o impianti – Modifica ciclo produttivo – Modifica automezzi trasporto – Cambio sede legale – Modifiche societarie – Cambio amministratore delegato – Cambio preposto o delegato – Cambio soci</w:t>
            </w:r>
            <w:r w:rsidR="00A370A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CBE3191" w14:textId="78AB73F7" w:rsidR="004718BE" w:rsidRDefault="004718BE" w:rsidP="004718B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370A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7C99D069" w14:textId="47804F88" w:rsidR="004378B1" w:rsidRPr="004378B1" w:rsidRDefault="004378B1" w:rsidP="004378B1">
            <w:pPr>
              <w:ind w:left="164" w:right="312"/>
              <w:jc w:val="both"/>
              <w:rPr>
                <w:rFonts w:eastAsia="Times New Roman"/>
                <w:i/>
                <w:color w:val="C00000"/>
                <w:sz w:val="20"/>
                <w:szCs w:val="20"/>
                <w:u w:val="none"/>
                <w:lang w:eastAsia="it-IT"/>
              </w:rPr>
            </w:pPr>
          </w:p>
          <w:p w14:paraId="4D33D3BB" w14:textId="5D5CA816" w:rsidR="004378B1" w:rsidRPr="00A370AC" w:rsidRDefault="00A90FFE" w:rsidP="0055128B">
            <w:pPr>
              <w:ind w:left="164" w:right="312"/>
              <w:jc w:val="both"/>
              <w:rPr>
                <w:color w:val="auto"/>
              </w:rPr>
            </w:pPr>
            <w:hyperlink r:id="rId15" w:history="1">
              <w:r w:rsidR="004378B1" w:rsidRPr="00A370AC">
                <w:rPr>
                  <w:rStyle w:val="Collegamentoipertestuale"/>
                  <w:b/>
                  <w:u w:val="none"/>
                </w:rPr>
                <w:t>Alle</w:t>
              </w:r>
              <w:r w:rsidR="004378B1" w:rsidRPr="00A370AC">
                <w:rPr>
                  <w:rStyle w:val="Collegamentoipertestuale"/>
                  <w:b/>
                  <w:u w:val="none"/>
                </w:rPr>
                <w:t>g</w:t>
              </w:r>
              <w:r w:rsidR="004378B1" w:rsidRPr="00A370AC">
                <w:rPr>
                  <w:rStyle w:val="Collegamentoipertestuale"/>
                  <w:b/>
                  <w:u w:val="none"/>
                </w:rPr>
                <w:t>ati</w:t>
              </w:r>
              <w:r w:rsidR="004378B1" w:rsidRPr="00A370AC">
                <w:rPr>
                  <w:color w:val="auto"/>
                </w:rPr>
                <w:t xml:space="preserve"> </w:t>
              </w:r>
            </w:hyperlink>
            <w:r w:rsidR="004378B1" w:rsidRPr="00A370AC">
              <w:rPr>
                <w:color w:val="auto"/>
              </w:rPr>
              <w:t xml:space="preserve">  </w:t>
            </w:r>
          </w:p>
          <w:p w14:paraId="63EEF064" w14:textId="092CE2E5" w:rsidR="00AA3A5E" w:rsidRDefault="00AA3A5E" w:rsidP="00CD79ED">
            <w:pPr>
              <w:ind w:left="164" w:right="312"/>
              <w:jc w:val="both"/>
              <w:rPr>
                <w:color w:val="auto"/>
                <w:sz w:val="22"/>
                <w:szCs w:val="22"/>
              </w:rPr>
            </w:pPr>
          </w:p>
          <w:p w14:paraId="6048EEA5" w14:textId="1B0E6A93" w:rsidR="00BA13D0" w:rsidRPr="00744B7C" w:rsidRDefault="00A90FFE" w:rsidP="00BA13D0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BA13D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BA13D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BA13D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BA13D0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BA13D0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68F81278" w14:textId="77777777" w:rsidR="00BA13D0" w:rsidRDefault="00BA13D0" w:rsidP="00BA13D0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FE98054" w14:textId="5F60B448" w:rsidR="00BA13D0" w:rsidRPr="00A960D3" w:rsidRDefault="00BA13D0" w:rsidP="00BA13D0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E36A2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"Definizioni/10APTariffe%20commercio%20aree%20pubbliche.docx"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0BECDE3A" w14:textId="77777777" w:rsidR="00BA13D0" w:rsidRDefault="00BA13D0" w:rsidP="0090482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9160408" w14:textId="77777777" w:rsidR="00BA13D0" w:rsidRPr="00904821" w:rsidRDefault="00BA13D0" w:rsidP="00BA13D0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7399D632" w14:textId="3FF07C43" w:rsidR="00BA13D0" w:rsidRPr="005012D3" w:rsidRDefault="00BA13D0" w:rsidP="0090482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A13D0">
              <w:rPr>
                <w:b/>
                <w:color w:val="C00000"/>
                <w:u w:val="none"/>
              </w:rPr>
              <w:t>Tempistica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-</w:t>
            </w:r>
            <w:r w:rsidRPr="005012D3">
              <w:rPr>
                <w:color w:val="auto"/>
                <w:sz w:val="20"/>
                <w:szCs w:val="20"/>
                <w:u w:val="none"/>
              </w:rPr>
              <w:t xml:space="preserve"> Nessun tempo preordinato per l’ottenimento di una </w:t>
            </w:r>
            <w:r w:rsidRPr="005012D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autorizzazione per un posteggio fisso</w:t>
            </w:r>
            <w:r w:rsidRPr="005012D3">
              <w:rPr>
                <w:color w:val="auto"/>
                <w:sz w:val="20"/>
                <w:szCs w:val="20"/>
                <w:u w:val="none"/>
              </w:rPr>
              <w:t>; occorre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012D3">
              <w:rPr>
                <w:color w:val="auto"/>
                <w:sz w:val="20"/>
                <w:szCs w:val="20"/>
                <w:u w:val="none"/>
              </w:rPr>
              <w:t>partecipare al bando pubblic</w:t>
            </w:r>
            <w:r>
              <w:rPr>
                <w:color w:val="auto"/>
                <w:sz w:val="20"/>
                <w:szCs w:val="20"/>
                <w:u w:val="none"/>
              </w:rPr>
              <w:t>o</w:t>
            </w:r>
            <w:r w:rsidRPr="005012D3">
              <w:rPr>
                <w:color w:val="auto"/>
                <w:sz w:val="20"/>
                <w:szCs w:val="20"/>
                <w:u w:val="none"/>
              </w:rPr>
              <w:t xml:space="preserve"> per l’ottenimento in concessione di un posteggio nel </w:t>
            </w:r>
            <w:r>
              <w:rPr>
                <w:color w:val="auto"/>
                <w:sz w:val="20"/>
                <w:szCs w:val="20"/>
                <w:u w:val="none"/>
              </w:rPr>
              <w:t>s</w:t>
            </w:r>
            <w:r w:rsidRPr="005012D3">
              <w:rPr>
                <w:color w:val="auto"/>
                <w:sz w:val="20"/>
                <w:szCs w:val="20"/>
                <w:u w:val="none"/>
              </w:rPr>
              <w:t>ervizio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012D3">
              <w:rPr>
                <w:color w:val="auto"/>
                <w:sz w:val="20"/>
                <w:szCs w:val="20"/>
                <w:u w:val="none"/>
              </w:rPr>
              <w:t xml:space="preserve">mercatale o altro posto fisso; </w:t>
            </w:r>
            <w:r>
              <w:rPr>
                <w:color w:val="auto"/>
                <w:sz w:val="20"/>
                <w:szCs w:val="20"/>
                <w:u w:val="none"/>
              </w:rPr>
              <w:t>a sottoscrizione della concessione privatistica,</w:t>
            </w:r>
            <w:r w:rsidRPr="005012D3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 xml:space="preserve">e pagamento del dovuto canone concessorio, </w:t>
            </w:r>
            <w:r w:rsidRPr="005012D3">
              <w:rPr>
                <w:color w:val="auto"/>
                <w:sz w:val="20"/>
                <w:szCs w:val="20"/>
                <w:u w:val="none"/>
              </w:rPr>
              <w:t>sarà rilasciata la prescritta autorizzazione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012D3">
              <w:rPr>
                <w:color w:val="auto"/>
                <w:sz w:val="20"/>
                <w:szCs w:val="20"/>
                <w:u w:val="none"/>
              </w:rPr>
              <w:t>commerciale.</w:t>
            </w:r>
          </w:p>
          <w:p w14:paraId="6E72344E" w14:textId="4A76E9D8" w:rsidR="00BA13D0" w:rsidRDefault="00BA13D0" w:rsidP="00BA13D0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2E4D8ED8" w14:textId="5BFD2FAC" w:rsidR="00BA13D0" w:rsidRPr="00945B26" w:rsidRDefault="00A90FFE" w:rsidP="00BA13D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BA13D0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BA13D0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BA13D0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BA13D0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BA13D0" w:rsidRPr="00F2069F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BA13D0" w:rsidRPr="00F2069F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BA13D0" w:rsidRPr="00F2069F">
                <w:rPr>
                  <w:rStyle w:val="Collegamentoipertestuale"/>
                  <w:b/>
                  <w:sz w:val="20"/>
                  <w:szCs w:val="20"/>
                </w:rPr>
                <w:t>te 3^</w:t>
              </w:r>
            </w:hyperlink>
            <w:r w:rsidR="00BA13D0" w:rsidRPr="00945B26">
              <w:rPr>
                <w:color w:val="0000FF"/>
                <w:sz w:val="20"/>
                <w:szCs w:val="20"/>
              </w:rPr>
              <w:t xml:space="preserve"> </w:t>
            </w:r>
            <w:r w:rsidR="00BA13D0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BA13D0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BA13D0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706DCDB5" w14:textId="77777777" w:rsidR="00BA13D0" w:rsidRDefault="00BA13D0" w:rsidP="00904821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98D5219" w14:textId="7A1EBA34" w:rsidR="00BA13D0" w:rsidRDefault="00BA13D0" w:rsidP="00BA13D0">
            <w:pPr>
              <w:ind w:left="164" w:right="312"/>
              <w:jc w:val="both"/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9" w:history="1">
              <w:r w:rsidRPr="0050432E">
                <w:rPr>
                  <w:rStyle w:val="Collegamentoipertestuale"/>
                  <w:b/>
                  <w:sz w:val="20"/>
                  <w:szCs w:val="20"/>
                </w:rPr>
                <w:t>D.lgs. 19</w:t>
              </w:r>
              <w:r w:rsidRPr="0050432E">
                <w:rPr>
                  <w:rStyle w:val="Collegamentoipertestuale"/>
                  <w:b/>
                  <w:sz w:val="20"/>
                  <w:szCs w:val="20"/>
                </w:rPr>
                <w:t>3</w:t>
              </w:r>
              <w:r w:rsidRPr="0050432E">
                <w:rPr>
                  <w:rStyle w:val="Collegamentoipertestuale"/>
                  <w:b/>
                  <w:sz w:val="20"/>
                  <w:szCs w:val="20"/>
                </w:rPr>
                <w:t>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20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 xml:space="preserve"> HACCP</w:t>
              </w:r>
            </w:hyperlink>
          </w:p>
          <w:p w14:paraId="3110983D" w14:textId="358A181A" w:rsidR="00276654" w:rsidRPr="00BA13D0" w:rsidRDefault="00945B26" w:rsidP="00BA13D0">
            <w:pPr>
              <w:spacing w:after="120"/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BA13D0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5F6004D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82045BA"/>
    <w:multiLevelType w:val="hybridMultilevel"/>
    <w:tmpl w:val="4E36DB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23936896"/>
    <w:multiLevelType w:val="hybridMultilevel"/>
    <w:tmpl w:val="01E89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545"/>
    <w:multiLevelType w:val="hybridMultilevel"/>
    <w:tmpl w:val="A8126DBC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B2873F3"/>
    <w:multiLevelType w:val="hybridMultilevel"/>
    <w:tmpl w:val="3EE2BC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2569"/>
    <w:rsid w:val="000A7C4C"/>
    <w:rsid w:val="000E4B7E"/>
    <w:rsid w:val="000F3ADF"/>
    <w:rsid w:val="00112873"/>
    <w:rsid w:val="00117F1E"/>
    <w:rsid w:val="002210DE"/>
    <w:rsid w:val="0023487B"/>
    <w:rsid w:val="00250A57"/>
    <w:rsid w:val="00273566"/>
    <w:rsid w:val="00276654"/>
    <w:rsid w:val="002A5D7C"/>
    <w:rsid w:val="002A6285"/>
    <w:rsid w:val="002B375D"/>
    <w:rsid w:val="002D28FB"/>
    <w:rsid w:val="002E1BC3"/>
    <w:rsid w:val="002E36A2"/>
    <w:rsid w:val="0034071B"/>
    <w:rsid w:val="00342D58"/>
    <w:rsid w:val="00367828"/>
    <w:rsid w:val="003A4A32"/>
    <w:rsid w:val="003C5FBA"/>
    <w:rsid w:val="0041512A"/>
    <w:rsid w:val="004257E1"/>
    <w:rsid w:val="00427688"/>
    <w:rsid w:val="004378B1"/>
    <w:rsid w:val="0044342C"/>
    <w:rsid w:val="0045341A"/>
    <w:rsid w:val="004704B5"/>
    <w:rsid w:val="004718BE"/>
    <w:rsid w:val="00493BD0"/>
    <w:rsid w:val="004E0D92"/>
    <w:rsid w:val="004F3CF0"/>
    <w:rsid w:val="004F59C5"/>
    <w:rsid w:val="005012D3"/>
    <w:rsid w:val="0050432E"/>
    <w:rsid w:val="00506E58"/>
    <w:rsid w:val="00523BC7"/>
    <w:rsid w:val="0055128B"/>
    <w:rsid w:val="0055297F"/>
    <w:rsid w:val="005921F2"/>
    <w:rsid w:val="005930C1"/>
    <w:rsid w:val="005C68B2"/>
    <w:rsid w:val="005C720B"/>
    <w:rsid w:val="006168F2"/>
    <w:rsid w:val="00621A5C"/>
    <w:rsid w:val="00651378"/>
    <w:rsid w:val="00692827"/>
    <w:rsid w:val="006B015E"/>
    <w:rsid w:val="006B29D2"/>
    <w:rsid w:val="006B3A13"/>
    <w:rsid w:val="006C7151"/>
    <w:rsid w:val="00705665"/>
    <w:rsid w:val="00723E87"/>
    <w:rsid w:val="00737DA2"/>
    <w:rsid w:val="00746376"/>
    <w:rsid w:val="0075614F"/>
    <w:rsid w:val="00777547"/>
    <w:rsid w:val="007846A0"/>
    <w:rsid w:val="00787FC7"/>
    <w:rsid w:val="0082478D"/>
    <w:rsid w:val="00897F79"/>
    <w:rsid w:val="008B4754"/>
    <w:rsid w:val="008E206A"/>
    <w:rsid w:val="00904821"/>
    <w:rsid w:val="00945B26"/>
    <w:rsid w:val="009702BA"/>
    <w:rsid w:val="009A4645"/>
    <w:rsid w:val="009A6334"/>
    <w:rsid w:val="00A06B50"/>
    <w:rsid w:val="00A370AC"/>
    <w:rsid w:val="00A45804"/>
    <w:rsid w:val="00A90FFE"/>
    <w:rsid w:val="00AA3A5E"/>
    <w:rsid w:val="00B0731C"/>
    <w:rsid w:val="00B66F7C"/>
    <w:rsid w:val="00BA13D0"/>
    <w:rsid w:val="00BF42AE"/>
    <w:rsid w:val="00C75D34"/>
    <w:rsid w:val="00CD592E"/>
    <w:rsid w:val="00CD79ED"/>
    <w:rsid w:val="00D16B5E"/>
    <w:rsid w:val="00D257D7"/>
    <w:rsid w:val="00D3514A"/>
    <w:rsid w:val="00D7590D"/>
    <w:rsid w:val="00DA34D6"/>
    <w:rsid w:val="00DC5DC3"/>
    <w:rsid w:val="00DF0435"/>
    <w:rsid w:val="00E25843"/>
    <w:rsid w:val="00E660BB"/>
    <w:rsid w:val="00EA55E8"/>
    <w:rsid w:val="00EB1403"/>
    <w:rsid w:val="00EE371A"/>
    <w:rsid w:val="00F03E34"/>
    <w:rsid w:val="00F2069F"/>
    <w:rsid w:val="00F23768"/>
    <w:rsid w:val="00F312D0"/>
    <w:rsid w:val="00F33A15"/>
    <w:rsid w:val="00F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864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character" w:customStyle="1" w:styleId="scelta-evidenziata1">
    <w:name w:val="scelta-evidenziata1"/>
    <w:basedOn w:val="Carpredefinitoparagrafo"/>
    <w:rsid w:val="00A370AC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5AP%20Requisiti%20onorabilit&#224;.pdf" TargetMode="External"/><Relationship Id="rId13" Type="http://schemas.openxmlformats.org/officeDocument/2006/relationships/hyperlink" Target="https://www.impresainungiorno.gov.it/comune?codCatastale=L581" TargetMode="External"/><Relationship Id="rId18" Type="http://schemas.openxmlformats.org/officeDocument/2006/relationships/hyperlink" Target="../../TUR/Parte%203%5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Definizioni/2AP%20Tipologia%20autorizzazioni.pdf" TargetMode="External"/><Relationship Id="rId12" Type="http://schemas.openxmlformats.org/officeDocument/2006/relationships/hyperlink" Target="http://www.impresainungiorno.gov.it/web/guest/comune?codCatastale=B137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Commercio.xlsx" TargetMode="External"/><Relationship Id="rId20" Type="http://schemas.openxmlformats.org/officeDocument/2006/relationships/hyperlink" Target="../../HACCP/HACCP_Gui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CONTATTI/CONTATTI_LC.docx" TargetMode="External"/><Relationship Id="rId11" Type="http://schemas.openxmlformats.org/officeDocument/2006/relationships/hyperlink" Target="Definizioni/8AP%20Ordinanza%20Ministro%20della%20Salute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Definizioni/9AP%20Allegati.docx" TargetMode="External"/><Relationship Id="rId10" Type="http://schemas.openxmlformats.org/officeDocument/2006/relationships/hyperlink" Target="../Definizioni/Piano%20sicurezza%20mercato%20e%20fiere.doc" TargetMode="External"/><Relationship Id="rId19" Type="http://schemas.openxmlformats.org/officeDocument/2006/relationships/hyperlink" Target="../../HACCP/D.Lgs%20n.%20193%20del%202007_%20HACC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6AP%20Requisiti%20professionali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48</cp:revision>
  <dcterms:created xsi:type="dcterms:W3CDTF">2018-07-22T15:36:00Z</dcterms:created>
  <dcterms:modified xsi:type="dcterms:W3CDTF">2021-04-26T08:30:00Z</dcterms:modified>
</cp:coreProperties>
</file>